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xml:space="preserve">Grade 5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Islamic Education</w:t>
      </w:r>
      <w:bookmarkStart w:id="0" w:name="_GoBack"/>
      <w:bookmarkEnd w:id="0"/>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Summary for Final Exam</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Surah Al-Adiyat</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Pages 18-22</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Memorize the entire Surah with meanings and lesson questions.</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Allah swears by horses in Surah Al-Adiyat.</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The meaning of "And indeed he is, in love of wealth, intense" is love of money.</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Horses are distinguished from other animals as they are used in battles.</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The meaning of "Al-Adiyat" is the horses running in battle.</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The verses of Surah Al-Adiyat highlight that Allah swears by horses due to their importance in warfare. The verses also explain that humans often deny the countless blessings of Allah and are characterized by their intense love of wealth, which may lead to extreme miserliness. Allah is All-Knowing of the deeds of His servants, and nothing is hidden from Him in the heavens or the earth.</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The Year of Sorrow (Questions only)</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Pages 57-61</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This lesson talks about the Year of Sorrow that befell the Prophet Muhammad (PBUH).</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The year in which Khadijah and Abu Talib passed away was called the Year of Sorrow.</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Abu Talib, the Prophet's uncle, died as a non-Muslim.</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Khadijah was the first to believe in the Prophet (PBUH).</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Abu Talib supported the Prophet by caring for him, including him in his family, and protecting him from Quraysh, allowing him to speak freely about Islam.</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Lady Khadijah was an ideal wife who supported the Prophet in his mission to spread Islam, both emotionally and financially.</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The Miracle of Isra and Mi'raj (Questions only)</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Pages 62-67</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This lesson discusses the Prophet's night journey to Jerusalem and ascension to the heavens.</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Example: Explain the Isra and Mi'raj.</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The miracle occurred after the Year of Sorrow.</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Angel Jibreel accompanied the Prophet during the journey.</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The Prophet led the other prophets in prayer at Al-Aqsa Mosque.</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The Prophet saw Heaven and Hell during the journey.</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The Prophet traveled from Mecca to Jerusalem on Buraq.</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Al-Aqsa Mosque is located in Jerusalem, the capital of Palestine.</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Abu Bakr As-Siddiq was named "As-Siddiq" because he was the first to believe in the Prophet's journey.</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Isra refers to the journey from Mecca to Jerusalem on Buraq, while Mi'raj refers to the Prophet's ascension to the heavens.</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Our duty towards Jerusalem and holy sites: to protect, pray in, and supplicate for them.</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Sunnah Prayers</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Pages 80-85</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This lesson covers the Tarawih prayers.</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Example: Derive the wisdom behind the legislation of prayers.</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Sunnah prayers include two Rak'ahs before Fajr.</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Tarawih prayers are named as such because worshippers rest after every four Rak'ahs.</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The prayer recommended in the last third of the night is Tahajjud.</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Sunnah prayers are recommended acts of worship; if performed, they bring rewards, but no sin is incurred if omitted. On the other hand, obligatory prayers carry both rewards for fulfillment and sin for neglect.</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The wisdom behind Sunnah prayers is to seek Allah's rewards, gain His pleasure and love, and earn Paradise.</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Inviting to Islam during the Pilgrimage Seasons</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Pages 68-73</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This lesson discusses the Prophet's invitation to Islam.</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Example: What is Da'wah (invitation)?</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The Surah revealed regarding Abu Lahab and his wife is Surah Al-Masad.</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Abu Bakr and Ali accompanied the Prophet in his invitation to Islam.</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The Prophet would go out at night to invite tribes, often accompanied by companions.</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Among those invited during the pilgrimage season and embraced Islam were As'ad bin Zurara, Awf bin Al-Harith, and Rafi' bin Malik.</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Focus on lesson questions</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webkit-standard" w:hAnsi="-webkit-standard" w:eastAsia="-webkit-standard" w:cs="-webkit-standard"/>
          <w:i w:val="0"/>
          <w:caps w:val="0"/>
          <w:color w:val="000000"/>
          <w:spacing w:val="0"/>
          <w:sz w:val="27"/>
          <w:szCs w:val="27"/>
          <w:u w:val="none"/>
        </w:rPr>
        <w:t>(assessments) for the final exam and memorize the assigned Quranic verses in this summary.</w:t>
      </w:r>
    </w:p>
    <w:p>
      <w:pPr>
        <w:pStyle w:val="2"/>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2024-12-03T21:29:09Z</dcterms:created>
  <dc:creator>iPhone</dc:creator>
  <cp:lastModifiedBy>iPhone</cp:lastModifiedBy>
  <dcterms:modified xsi:type="dcterms:W3CDTF">2024-12-03T21:34:51Z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E05CCA7345D6D1B4055C4F67560AF383_31</vt:lpwstr>
  </property>
</Properties>
</file>