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التمييز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التنوين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بأنواعه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والتعرف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على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تاء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التأنيث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الساكنة</w:t>
      </w:r>
      <w:r w:rsidDel="00000000" w:rsidR="00000000" w:rsidRPr="00000000">
        <w:rPr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before="280" w:line="276" w:lineRule="auto"/>
        <w:ind w:left="-576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التأنيث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الساكنة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ونلاحظ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لعب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الحديقة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9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الحديقة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ِّ.</w:t>
      </w:r>
    </w:p>
    <w:p w:rsidR="00000000" w:rsidDel="00000000" w:rsidP="00000000" w:rsidRDefault="00000000" w:rsidRPr="00000000" w14:paraId="0000000B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َ.</w:t>
      </w:r>
    </w:p>
    <w:p w:rsidR="00000000" w:rsidDel="00000000" w:rsidP="00000000" w:rsidRDefault="00000000" w:rsidRPr="00000000" w14:paraId="0000000D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ركض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F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نظف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غرفته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غرفتها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28"/>
          <w:szCs w:val="28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نوعه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تنوين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ضم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ٍ،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تنوين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ٍ،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تنوين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كسر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ٍ).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before="24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ٌ : ………………………………………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………………………………………..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24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: ……………………………………..</w:t>
      </w:r>
    </w:p>
    <w:p w:rsidR="00000000" w:rsidDel="00000000" w:rsidP="00000000" w:rsidRDefault="00000000" w:rsidRPr="00000000" w14:paraId="0000001A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21272</wp:posOffset>
                </wp:positionV>
                <wp:extent cx="5591175" cy="666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555175" y="3751425"/>
                          <a:ext cx="5581650" cy="571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21272</wp:posOffset>
                </wp:positionV>
                <wp:extent cx="5591175" cy="6667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11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رتب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لنكون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الكتاب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مفيد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معلومات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يحتوي</w:t>
      </w:r>
    </w:p>
    <w:p w:rsidR="00000000" w:rsidDel="00000000" w:rsidP="00000000" w:rsidRDefault="00000000" w:rsidRPr="00000000" w14:paraId="0000001D">
      <w:pPr>
        <w:bidi w:val="1"/>
        <w:spacing w:after="20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E">
      <w:pPr>
        <w:bidi w:val="1"/>
        <w:spacing w:after="20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200"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يلعبون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الحديقة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الأطفال</w:t>
      </w:r>
    </w:p>
    <w:p w:rsidR="00000000" w:rsidDel="00000000" w:rsidP="00000000" w:rsidRDefault="00000000" w:rsidRPr="00000000" w14:paraId="00000020">
      <w:pPr>
        <w:bidi w:val="1"/>
        <w:spacing w:after="20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-128586</wp:posOffset>
                </wp:positionH>
                <wp:positionV relativeFrom="paragraph">
                  <wp:posOffset>323533</wp:posOffset>
                </wp:positionV>
                <wp:extent cx="5572125" cy="285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564700" y="3770475"/>
                          <a:ext cx="556260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-128586</wp:posOffset>
                </wp:positionH>
                <wp:positionV relativeFrom="paragraph">
                  <wp:posOffset>323533</wp:posOffset>
                </wp:positionV>
                <wp:extent cx="5572125" cy="2857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bookmarkStart w:colFirst="0" w:colLast="0" w:name="_heading=h.wd5t10txgjun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يل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حيح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للحركات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رأى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ؤذن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المسجد</w:t>
      </w:r>
      <w:r w:rsidDel="00000000" w:rsidR="00000000" w:rsidRPr="00000000">
        <w:rPr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ؤذن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الصباح</w:t>
      </w:r>
      <w:r w:rsidDel="00000000" w:rsidR="00000000" w:rsidRPr="00000000">
        <w:rPr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قرأ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ناشيد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ً</w:t>
      </w:r>
    </w:p>
    <w:p w:rsidR="00000000" w:rsidDel="00000000" w:rsidP="00000000" w:rsidRDefault="00000000" w:rsidRPr="00000000" w14:paraId="00000026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7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متميزون</w:t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-784223</wp:posOffset>
          </wp:positionH>
          <wp:positionV relativeFrom="paragraph">
            <wp:posOffset>-791843</wp:posOffset>
          </wp:positionV>
          <wp:extent cx="7483338" cy="103124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 w:val="1"/>
    <w:rsid w:val="009F46B2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A2B0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LbBbE+hBJ+7wO2fnMxFjvBKaw==">CgMxLjAyDmgud2Q1dDEwdHhnanVuOAByITFMMktCTzFEOUxWa192ZGl3S0tKLUNYaGVkVkFYOUZ3Ng==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